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0B99D2">
      <w:pPr>
        <w:pStyle w:val="5"/>
        <w:spacing w:after="240"/>
      </w:pPr>
      <w:r>
        <w:t>XXX博士学位论文答辩决议</w:t>
      </w:r>
    </w:p>
    <w:p w14:paraId="7918C0E9">
      <w:pPr>
        <w:adjustRightInd w:val="0"/>
        <w:snapToGrid w:val="0"/>
        <w:spacing w:line="460" w:lineRule="exact"/>
        <w:ind w:firstLine="480" w:firstLineChars="200"/>
        <w:rPr>
          <w:rFonts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eastAsia" w:ascii="Times New Roman" w:hAnsi="Times New Roman" w:eastAsia="宋体" w:cs="Times New Roman"/>
          <w:color w:val="000000"/>
          <w:sz w:val="24"/>
          <w:szCs w:val="24"/>
        </w:rPr>
        <w:t>论文针对变</w:t>
      </w:r>
      <w:r>
        <w:rPr>
          <w:rFonts w:ascii="Times New Roman" w:hAnsi="Times New Roman" w:eastAsia="宋体" w:cs="Times New Roman"/>
          <w:color w:val="000000"/>
          <w:sz w:val="24"/>
          <w:szCs w:val="24"/>
        </w:rPr>
        <w:t>XX</w:t>
      </w:r>
      <w:r>
        <w:rPr>
          <w:rFonts w:hint="eastAsia" w:ascii="Times New Roman" w:hAnsi="Times New Roman" w:eastAsia="宋体" w:cs="Times New Roman"/>
          <w:color w:val="000000"/>
          <w:sz w:val="24"/>
          <w:szCs w:val="24"/>
        </w:rPr>
        <w:t>的理论缺陷，在系统分析国内外相关研究现状基础上，深入研究了</w:t>
      </w:r>
      <w:r>
        <w:rPr>
          <w:rFonts w:ascii="Times New Roman" w:hAnsi="Times New Roman" w:eastAsia="宋体" w:cs="Times New Roman"/>
          <w:color w:val="000000"/>
          <w:sz w:val="24"/>
          <w:szCs w:val="24"/>
        </w:rPr>
        <w:t>XX</w:t>
      </w:r>
      <w:r>
        <w:rPr>
          <w:rFonts w:hint="eastAsia" w:ascii="Times New Roman" w:hAnsi="Times New Roman" w:eastAsia="宋体" w:cs="Times New Roman"/>
          <w:color w:val="000000"/>
          <w:sz w:val="24"/>
          <w:szCs w:val="24"/>
        </w:rPr>
        <w:t>。论文选题合理、研究主题突出，具有较高的理论意义和工程价值。</w:t>
      </w:r>
    </w:p>
    <w:p w14:paraId="45ADB09E">
      <w:pPr>
        <w:adjustRightInd w:val="0"/>
        <w:snapToGrid w:val="0"/>
        <w:spacing w:line="460" w:lineRule="exact"/>
        <w:ind w:firstLine="480" w:firstLineChars="200"/>
        <w:rPr>
          <w:rFonts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eastAsia" w:ascii="Times New Roman" w:hAnsi="Times New Roman" w:eastAsia="宋体" w:cs="Times New Roman"/>
          <w:color w:val="000000"/>
          <w:sz w:val="24"/>
          <w:szCs w:val="24"/>
        </w:rPr>
        <w:t>论文的主要创新性工作如下：</w:t>
      </w:r>
    </w:p>
    <w:p w14:paraId="335D6E8C">
      <w:pPr>
        <w:adjustRightInd w:val="0"/>
        <w:snapToGrid w:val="0"/>
        <w:spacing w:line="460" w:lineRule="exact"/>
        <w:ind w:firstLine="480" w:firstLineChars="200"/>
        <w:rPr>
          <w:rFonts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eastAsia" w:ascii="Times New Roman" w:hAnsi="Times New Roman" w:eastAsia="宋体" w:cs="Times New Roman"/>
          <w:color w:val="000000"/>
          <w:sz w:val="24"/>
          <w:szCs w:val="24"/>
        </w:rPr>
        <w:t>(</w:t>
      </w:r>
      <w:r>
        <w:rPr>
          <w:rFonts w:ascii="Times New Roman" w:hAnsi="Times New Roman" w:eastAsia="宋体" w:cs="Times New Roman"/>
          <w:color w:val="000000"/>
          <w:sz w:val="24"/>
          <w:szCs w:val="24"/>
        </w:rPr>
        <w:t>1</w:t>
      </w:r>
      <w:r>
        <w:rPr>
          <w:rFonts w:hint="eastAsia" w:ascii="Times New Roman" w:hAnsi="Times New Roman" w:eastAsia="宋体" w:cs="Times New Roman"/>
          <w:color w:val="000000"/>
          <w:sz w:val="24"/>
          <w:szCs w:val="24"/>
        </w:rPr>
        <w:t>)</w:t>
      </w:r>
      <w:r>
        <w:rPr>
          <w:rFonts w:ascii="Times New Roman" w:hAnsi="Times New Roman" w:eastAsia="宋体" w:cs="Times New Roman"/>
          <w:color w:val="000000"/>
          <w:sz w:val="24"/>
          <w:szCs w:val="24"/>
        </w:rPr>
        <w:t xml:space="preserve"> </w:t>
      </w:r>
    </w:p>
    <w:p w14:paraId="2266BFD6">
      <w:pPr>
        <w:adjustRightInd w:val="0"/>
        <w:snapToGrid w:val="0"/>
        <w:spacing w:line="460" w:lineRule="exact"/>
        <w:ind w:firstLine="480" w:firstLineChars="200"/>
        <w:rPr>
          <w:rFonts w:ascii="Times New Roman" w:hAnsi="Times New Roman" w:eastAsia="宋体" w:cs="Times New Roman"/>
          <w:color w:val="000000"/>
          <w:sz w:val="24"/>
          <w:szCs w:val="24"/>
        </w:rPr>
      </w:pPr>
      <w:r>
        <w:rPr>
          <w:rFonts w:ascii="Times New Roman" w:hAnsi="Times New Roman" w:eastAsia="宋体" w:cs="Times New Roman"/>
          <w:color w:val="000000"/>
          <w:sz w:val="24"/>
          <w:szCs w:val="24"/>
        </w:rPr>
        <w:t xml:space="preserve">(2) </w:t>
      </w:r>
    </w:p>
    <w:p w14:paraId="5ADA3973">
      <w:pPr>
        <w:adjustRightInd w:val="0"/>
        <w:snapToGrid w:val="0"/>
        <w:spacing w:line="460" w:lineRule="exact"/>
        <w:ind w:firstLine="480" w:firstLineChars="200"/>
        <w:rPr>
          <w:rFonts w:ascii="Times New Roman" w:hAnsi="Times New Roman" w:eastAsia="宋体" w:cs="Times New Roman"/>
          <w:color w:val="000000"/>
          <w:sz w:val="24"/>
          <w:szCs w:val="24"/>
        </w:rPr>
      </w:pPr>
      <w:r>
        <w:rPr>
          <w:rFonts w:ascii="Times New Roman" w:hAnsi="Times New Roman" w:eastAsia="宋体" w:cs="Times New Roman"/>
          <w:color w:val="000000"/>
          <w:sz w:val="24"/>
          <w:szCs w:val="24"/>
        </w:rPr>
        <w:t xml:space="preserve">(3) </w:t>
      </w:r>
    </w:p>
    <w:p w14:paraId="00DAE046">
      <w:pPr>
        <w:adjustRightInd w:val="0"/>
        <w:snapToGrid w:val="0"/>
        <w:spacing w:line="460" w:lineRule="exact"/>
        <w:ind w:firstLine="480" w:firstLineChars="200"/>
        <w:rPr>
          <w:rFonts w:ascii="Times New Roman" w:hAnsi="Times New Roman" w:eastAsia="宋体" w:cs="Times New Roman"/>
          <w:color w:val="000000"/>
          <w:sz w:val="24"/>
          <w:szCs w:val="24"/>
        </w:rPr>
      </w:pPr>
      <w:r>
        <w:rPr>
          <w:rFonts w:ascii="Times New Roman" w:hAnsi="Times New Roman" w:eastAsia="宋体" w:cs="Times New Roman"/>
          <w:color w:val="000000"/>
          <w:sz w:val="24"/>
          <w:szCs w:val="24"/>
        </w:rPr>
        <w:t xml:space="preserve">(4) </w:t>
      </w:r>
    </w:p>
    <w:p w14:paraId="67DA9BB1">
      <w:pPr>
        <w:adjustRightInd w:val="0"/>
        <w:snapToGrid w:val="0"/>
        <w:spacing w:line="460" w:lineRule="exact"/>
        <w:ind w:firstLine="480" w:firstLineChars="200"/>
        <w:rPr>
          <w:rFonts w:ascii="Times New Roman" w:hAnsi="Times New Roman" w:eastAsia="宋体" w:cs="Times New Roman"/>
          <w:color w:val="000000"/>
          <w:sz w:val="24"/>
          <w:szCs w:val="24"/>
        </w:rPr>
      </w:pPr>
      <w:r>
        <w:rPr>
          <w:rFonts w:ascii="Times New Roman" w:hAnsi="Times New Roman" w:eastAsia="宋体" w:cs="Times New Roman"/>
          <w:color w:val="000000"/>
          <w:sz w:val="24"/>
          <w:szCs w:val="24"/>
        </w:rPr>
        <w:t>论文结构严谨</w:t>
      </w:r>
      <w:r>
        <w:rPr>
          <w:rFonts w:hint="eastAsia" w:ascii="Times New Roman" w:hAnsi="Times New Roman" w:eastAsia="宋体" w:cs="Times New Roman"/>
          <w:color w:val="000000"/>
          <w:sz w:val="24"/>
          <w:szCs w:val="24"/>
        </w:rPr>
        <w:t>、</w:t>
      </w:r>
      <w:r>
        <w:rPr>
          <w:rFonts w:ascii="Times New Roman" w:hAnsi="Times New Roman" w:eastAsia="宋体" w:cs="Times New Roman"/>
          <w:color w:val="000000"/>
          <w:sz w:val="24"/>
          <w:szCs w:val="24"/>
        </w:rPr>
        <w:t>条理清晰</w:t>
      </w:r>
      <w:r>
        <w:rPr>
          <w:rFonts w:hint="eastAsia" w:ascii="Times New Roman" w:hAnsi="Times New Roman" w:eastAsia="宋体" w:cs="Times New Roman"/>
          <w:color w:val="000000"/>
          <w:sz w:val="24"/>
          <w:szCs w:val="24"/>
        </w:rPr>
        <w:t>、</w:t>
      </w:r>
      <w:r>
        <w:rPr>
          <w:rFonts w:ascii="Times New Roman" w:hAnsi="Times New Roman" w:eastAsia="宋体" w:cs="Times New Roman"/>
          <w:color w:val="000000"/>
          <w:sz w:val="24"/>
          <w:szCs w:val="24"/>
        </w:rPr>
        <w:t>写作规范</w:t>
      </w:r>
      <w:r>
        <w:rPr>
          <w:rFonts w:hint="eastAsia" w:ascii="Times New Roman" w:hAnsi="Times New Roman" w:eastAsia="宋体" w:cs="Times New Roman"/>
          <w:color w:val="000000"/>
          <w:sz w:val="24"/>
          <w:szCs w:val="24"/>
        </w:rPr>
        <w:t>、</w:t>
      </w:r>
      <w:r>
        <w:rPr>
          <w:rFonts w:ascii="Times New Roman" w:hAnsi="Times New Roman" w:eastAsia="宋体" w:cs="Times New Roman"/>
          <w:color w:val="000000"/>
          <w:sz w:val="24"/>
          <w:szCs w:val="24"/>
        </w:rPr>
        <w:t>研究方法</w:t>
      </w:r>
      <w:r>
        <w:rPr>
          <w:rFonts w:hint="eastAsia" w:ascii="Times New Roman" w:hAnsi="Times New Roman" w:eastAsia="宋体" w:cs="Times New Roman"/>
          <w:color w:val="000000"/>
          <w:sz w:val="24"/>
          <w:szCs w:val="24"/>
        </w:rPr>
        <w:t>新颖、</w:t>
      </w:r>
      <w:r>
        <w:rPr>
          <w:rFonts w:ascii="Times New Roman" w:hAnsi="Times New Roman" w:eastAsia="宋体" w:cs="Times New Roman"/>
          <w:color w:val="000000"/>
          <w:sz w:val="24"/>
          <w:szCs w:val="24"/>
        </w:rPr>
        <w:t>所得结论</w:t>
      </w:r>
      <w:r>
        <w:rPr>
          <w:rFonts w:hint="eastAsia" w:ascii="Times New Roman" w:hAnsi="Times New Roman" w:eastAsia="宋体" w:cs="Times New Roman"/>
          <w:color w:val="000000"/>
          <w:sz w:val="24"/>
          <w:szCs w:val="24"/>
        </w:rPr>
        <w:t>正确、</w:t>
      </w:r>
      <w:r>
        <w:rPr>
          <w:rFonts w:ascii="Times New Roman" w:hAnsi="Times New Roman" w:eastAsia="宋体" w:cs="Times New Roman"/>
          <w:color w:val="000000"/>
          <w:sz w:val="24"/>
          <w:szCs w:val="24"/>
        </w:rPr>
        <w:t>研究成果具有较强的创新性</w:t>
      </w:r>
      <w:r>
        <w:rPr>
          <w:rFonts w:hint="eastAsia" w:ascii="Times New Roman" w:hAnsi="Times New Roman" w:eastAsia="宋体" w:cs="Times New Roman"/>
          <w:color w:val="000000"/>
          <w:sz w:val="24"/>
          <w:szCs w:val="24"/>
        </w:rPr>
        <w:t>，达到了工学</w:t>
      </w:r>
      <w:r>
        <w:rPr>
          <w:rFonts w:hint="eastAsia" w:ascii="Times New Roman" w:hAnsi="Times New Roman" w:eastAsia="宋体" w:cs="Times New Roman"/>
          <w:color w:val="FF0000"/>
          <w:sz w:val="24"/>
          <w:szCs w:val="24"/>
        </w:rPr>
        <w:t>（或</w:t>
      </w:r>
      <w:r>
        <w:rPr>
          <w:rFonts w:ascii="Times New Roman" w:hAnsi="Times New Roman" w:eastAsia="宋体" w:cs="Times New Roman"/>
          <w:color w:val="FF0000"/>
          <w:sz w:val="24"/>
          <w:szCs w:val="24"/>
        </w:rPr>
        <w:t>工程</w:t>
      </w:r>
      <w:r>
        <w:rPr>
          <w:rFonts w:hint="eastAsia" w:ascii="Times New Roman" w:hAnsi="Times New Roman" w:eastAsia="宋体" w:cs="Times New Roman"/>
          <w:color w:val="FF0000"/>
          <w:sz w:val="24"/>
          <w:szCs w:val="24"/>
        </w:rPr>
        <w:t>或</w:t>
      </w:r>
      <w:r>
        <w:rPr>
          <w:rFonts w:ascii="Times New Roman" w:hAnsi="Times New Roman" w:eastAsia="宋体" w:cs="Times New Roman"/>
          <w:color w:val="FF0000"/>
          <w:sz w:val="24"/>
          <w:szCs w:val="24"/>
        </w:rPr>
        <w:t>机械</w:t>
      </w:r>
      <w:r>
        <w:rPr>
          <w:rFonts w:hint="eastAsia" w:ascii="Times New Roman" w:hAnsi="Times New Roman" w:eastAsia="宋体" w:cs="Times New Roman"/>
          <w:color w:val="FF0000"/>
          <w:sz w:val="24"/>
          <w:szCs w:val="24"/>
        </w:rPr>
        <w:t>或</w:t>
      </w:r>
      <w:r>
        <w:rPr>
          <w:rFonts w:ascii="Times New Roman" w:hAnsi="Times New Roman" w:eastAsia="宋体" w:cs="Times New Roman"/>
          <w:color w:val="FF0000"/>
          <w:sz w:val="24"/>
          <w:szCs w:val="24"/>
        </w:rPr>
        <w:t>交通运输</w:t>
      </w:r>
      <w:r>
        <w:rPr>
          <w:rFonts w:hint="eastAsia" w:ascii="Times New Roman" w:hAnsi="Times New Roman" w:eastAsia="宋体" w:cs="Times New Roman"/>
          <w:color w:val="FF0000"/>
          <w:sz w:val="24"/>
          <w:szCs w:val="24"/>
        </w:rPr>
        <w:t>）</w:t>
      </w:r>
      <w:r>
        <w:rPr>
          <w:rFonts w:hint="eastAsia" w:ascii="Times New Roman" w:hAnsi="Times New Roman" w:eastAsia="宋体" w:cs="Times New Roman"/>
          <w:color w:val="000000"/>
          <w:sz w:val="24"/>
          <w:szCs w:val="24"/>
        </w:rPr>
        <w:t>博士学位论文的要求。论文反映出作者掌握了坚实全面的基础理论和系统深入的专门知识，具备独立从事学术研究工作的能力</w:t>
      </w:r>
      <w:bookmarkStart w:id="0" w:name="_GoBack"/>
      <w:r>
        <w:rPr>
          <w:rFonts w:hint="eastAsia" w:ascii="Times New Roman" w:hAnsi="Times New Roman" w:eastAsia="宋体" w:cs="Times New Roman"/>
          <w:color w:val="FF0000"/>
          <w:sz w:val="24"/>
          <w:szCs w:val="24"/>
          <w:lang w:eastAsia="zh-CN"/>
        </w:rPr>
        <w:t>（</w:t>
      </w:r>
      <w:r>
        <w:rPr>
          <w:rFonts w:hint="eastAsia" w:ascii="Times New Roman" w:hAnsi="Times New Roman" w:eastAsia="宋体" w:cs="Times New Roman"/>
          <w:color w:val="FF0000"/>
          <w:sz w:val="24"/>
          <w:szCs w:val="24"/>
          <w:lang w:val="en-US" w:eastAsia="zh-CN"/>
        </w:rPr>
        <w:t>或</w:t>
      </w:r>
      <w:r>
        <w:rPr>
          <w:rFonts w:hint="eastAsia" w:ascii="宋体" w:hAnsi="宋体"/>
          <w:color w:val="FF0000"/>
          <w:sz w:val="24"/>
          <w:szCs w:val="24"/>
        </w:rPr>
        <w:t>独立承担专业实践工作的能力</w:t>
      </w:r>
      <w:r>
        <w:rPr>
          <w:rFonts w:hint="eastAsia" w:ascii="宋体" w:hAnsi="宋体"/>
          <w:color w:val="FF0000"/>
          <w:sz w:val="24"/>
          <w:szCs w:val="24"/>
          <w:lang w:eastAsia="zh-CN"/>
        </w:rPr>
        <w:t>，</w:t>
      </w:r>
      <w:r>
        <w:rPr>
          <w:rFonts w:hint="eastAsia" w:ascii="宋体" w:hAnsi="宋体"/>
          <w:color w:val="FF0000"/>
          <w:sz w:val="24"/>
          <w:szCs w:val="24"/>
          <w:lang w:val="en-US" w:eastAsia="zh-CN"/>
        </w:rPr>
        <w:t>适用专业学位博士</w:t>
      </w:r>
      <w:r>
        <w:rPr>
          <w:rFonts w:hint="eastAsia" w:ascii="Times New Roman" w:hAnsi="Times New Roman" w:eastAsia="宋体" w:cs="Times New Roman"/>
          <w:color w:val="FF0000"/>
          <w:sz w:val="24"/>
          <w:szCs w:val="24"/>
          <w:lang w:eastAsia="zh-CN"/>
        </w:rPr>
        <w:t>）</w:t>
      </w:r>
      <w:bookmarkEnd w:id="0"/>
      <w:r>
        <w:rPr>
          <w:rFonts w:hint="eastAsia" w:ascii="Times New Roman" w:hAnsi="Times New Roman" w:eastAsia="宋体" w:cs="Times New Roman"/>
          <w:color w:val="000000"/>
          <w:sz w:val="24"/>
          <w:szCs w:val="24"/>
        </w:rPr>
        <w:t>。作者在论文答辩过程中思路清晰，回答问题正确。</w:t>
      </w:r>
    </w:p>
    <w:p w14:paraId="4893D355">
      <w:pPr>
        <w:adjustRightInd w:val="0"/>
        <w:snapToGrid w:val="0"/>
        <w:spacing w:line="400" w:lineRule="exact"/>
        <w:ind w:firstLine="480" w:firstLineChars="200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答辩委员会充分讨论之后</w:t>
      </w:r>
      <w:r>
        <w:rPr>
          <w:rFonts w:hint="eastAsia" w:ascii="Times New Roman" w:hAnsi="Times New Roman" w:eastAsia="宋体" w:cs="Times New Roman"/>
          <w:sz w:val="24"/>
          <w:szCs w:val="24"/>
        </w:rPr>
        <w:t>，经无记名投票表决一致同意通过博士学位论文答辩，建议授予X</w:t>
      </w:r>
      <w:r>
        <w:rPr>
          <w:rFonts w:ascii="Times New Roman" w:hAnsi="Times New Roman" w:eastAsia="宋体" w:cs="Times New Roman"/>
          <w:sz w:val="24"/>
          <w:szCs w:val="24"/>
        </w:rPr>
        <w:t>XX</w:t>
      </w:r>
      <w:r>
        <w:rPr>
          <w:rFonts w:hint="eastAsia" w:ascii="Times New Roman" w:hAnsi="Times New Roman" w:eastAsia="宋体" w:cs="Times New Roman"/>
          <w:sz w:val="24"/>
          <w:szCs w:val="24"/>
        </w:rPr>
        <w:t>工学博士学位。</w:t>
      </w:r>
      <w:r>
        <w:rPr>
          <w:rFonts w:hint="eastAsia" w:ascii="Times New Roman" w:hAnsi="Times New Roman" w:eastAsia="宋体" w:cs="Times New Roman"/>
          <w:sz w:val="24"/>
          <w:szCs w:val="24"/>
          <w:highlight w:val="yellow"/>
        </w:rPr>
        <w:t>（适用于</w:t>
      </w:r>
      <w:r>
        <w:rPr>
          <w:rFonts w:ascii="Times New Roman" w:hAnsi="Times New Roman" w:eastAsia="宋体" w:cs="Times New Roman"/>
          <w:sz w:val="24"/>
          <w:szCs w:val="24"/>
          <w:highlight w:val="yellow"/>
        </w:rPr>
        <w:t>学术型博士</w:t>
      </w:r>
      <w:r>
        <w:rPr>
          <w:rFonts w:hint="eastAsia" w:ascii="Times New Roman" w:hAnsi="Times New Roman" w:eastAsia="宋体" w:cs="Times New Roman"/>
          <w:sz w:val="24"/>
          <w:szCs w:val="24"/>
          <w:highlight w:val="yellow"/>
        </w:rPr>
        <w:t>）</w:t>
      </w:r>
    </w:p>
    <w:p w14:paraId="6044CAF4">
      <w:pPr>
        <w:adjustRightInd w:val="0"/>
        <w:snapToGrid w:val="0"/>
        <w:spacing w:line="400" w:lineRule="exact"/>
        <w:ind w:firstLine="480" w:firstLineChars="200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答辩委员会充分讨论之后</w:t>
      </w:r>
      <w:r>
        <w:rPr>
          <w:rFonts w:hint="eastAsia" w:ascii="Times New Roman" w:hAnsi="Times New Roman" w:eastAsia="宋体" w:cs="Times New Roman"/>
          <w:sz w:val="24"/>
          <w:szCs w:val="24"/>
        </w:rPr>
        <w:t>，经无记名投票表决一致同意通过博士学位论文答辩，建议授予X</w:t>
      </w:r>
      <w:r>
        <w:rPr>
          <w:rFonts w:ascii="Times New Roman" w:hAnsi="Times New Roman" w:eastAsia="宋体" w:cs="Times New Roman"/>
          <w:sz w:val="24"/>
          <w:szCs w:val="24"/>
        </w:rPr>
        <w:t>XX</w:t>
      </w:r>
      <w:r>
        <w:rPr>
          <w:rFonts w:hint="eastAsia" w:ascii="Times New Roman" w:hAnsi="Times New Roman" w:eastAsia="宋体" w:cs="Times New Roman"/>
          <w:sz w:val="24"/>
          <w:szCs w:val="24"/>
        </w:rPr>
        <w:t>工程博士专业学位。</w:t>
      </w:r>
      <w:r>
        <w:rPr>
          <w:rFonts w:hint="eastAsia" w:ascii="Times New Roman" w:hAnsi="Times New Roman" w:eastAsia="宋体" w:cs="Times New Roman"/>
          <w:sz w:val="24"/>
          <w:szCs w:val="24"/>
          <w:highlight w:val="yellow"/>
        </w:rPr>
        <w:t>（适用于18、19级先进</w:t>
      </w:r>
      <w:r>
        <w:rPr>
          <w:rFonts w:ascii="Times New Roman" w:hAnsi="Times New Roman" w:eastAsia="宋体" w:cs="Times New Roman"/>
          <w:sz w:val="24"/>
          <w:szCs w:val="24"/>
          <w:highlight w:val="yellow"/>
        </w:rPr>
        <w:t>制造工程博士</w:t>
      </w:r>
      <w:r>
        <w:rPr>
          <w:rFonts w:hint="eastAsia" w:ascii="Times New Roman" w:hAnsi="Times New Roman" w:eastAsia="宋体" w:cs="Times New Roman"/>
          <w:sz w:val="24"/>
          <w:szCs w:val="24"/>
          <w:highlight w:val="yellow"/>
        </w:rPr>
        <w:t>）</w:t>
      </w:r>
    </w:p>
    <w:p w14:paraId="05FD6E0A">
      <w:pPr>
        <w:adjustRightInd w:val="0"/>
        <w:snapToGrid w:val="0"/>
        <w:spacing w:line="400" w:lineRule="exact"/>
        <w:ind w:firstLine="480" w:firstLineChars="200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答辩委员会充分讨论之后</w:t>
      </w:r>
      <w:r>
        <w:rPr>
          <w:rFonts w:hint="eastAsia" w:ascii="Times New Roman" w:hAnsi="Times New Roman" w:eastAsia="宋体" w:cs="Times New Roman"/>
          <w:sz w:val="24"/>
          <w:szCs w:val="24"/>
        </w:rPr>
        <w:t>，经无记名投票表决一致同意通过博士学位论文答辩，建议授予X</w:t>
      </w:r>
      <w:r>
        <w:rPr>
          <w:rFonts w:ascii="Times New Roman" w:hAnsi="Times New Roman" w:eastAsia="宋体" w:cs="Times New Roman"/>
          <w:sz w:val="24"/>
          <w:szCs w:val="24"/>
        </w:rPr>
        <w:t>XX</w:t>
      </w:r>
      <w:r>
        <w:rPr>
          <w:rFonts w:hint="eastAsia" w:ascii="Times New Roman" w:hAnsi="Times New Roman" w:eastAsia="宋体" w:cs="Times New Roman"/>
          <w:sz w:val="24"/>
          <w:szCs w:val="24"/>
        </w:rPr>
        <w:t>机械（或</w:t>
      </w:r>
      <w:r>
        <w:rPr>
          <w:rFonts w:ascii="Times New Roman" w:hAnsi="Times New Roman" w:eastAsia="宋体" w:cs="Times New Roman"/>
          <w:sz w:val="24"/>
          <w:szCs w:val="24"/>
        </w:rPr>
        <w:t>交通运输</w:t>
      </w:r>
      <w:r>
        <w:rPr>
          <w:rFonts w:hint="eastAsia" w:ascii="Times New Roman" w:hAnsi="Times New Roman" w:eastAsia="宋体" w:cs="Times New Roman"/>
          <w:sz w:val="24"/>
          <w:szCs w:val="24"/>
        </w:rPr>
        <w:t>）博士专业学位。</w:t>
      </w:r>
      <w:r>
        <w:rPr>
          <w:rFonts w:hint="eastAsia" w:ascii="Times New Roman" w:hAnsi="Times New Roman" w:eastAsia="宋体" w:cs="Times New Roman"/>
          <w:sz w:val="24"/>
          <w:szCs w:val="24"/>
          <w:highlight w:val="yellow"/>
        </w:rPr>
        <w:t>（适用于20级及</w:t>
      </w:r>
      <w:r>
        <w:rPr>
          <w:rFonts w:ascii="Times New Roman" w:hAnsi="Times New Roman" w:eastAsia="宋体" w:cs="Times New Roman"/>
          <w:sz w:val="24"/>
          <w:szCs w:val="24"/>
          <w:highlight w:val="yellow"/>
        </w:rPr>
        <w:t>以后的工程博士</w:t>
      </w:r>
      <w:r>
        <w:rPr>
          <w:rFonts w:hint="eastAsia" w:ascii="Times New Roman" w:hAnsi="Times New Roman" w:eastAsia="宋体" w:cs="Times New Roman"/>
          <w:sz w:val="24"/>
          <w:szCs w:val="24"/>
          <w:highlight w:val="yellow"/>
        </w:rPr>
        <w:t>）</w:t>
      </w:r>
    </w:p>
    <w:p w14:paraId="6A1F36BF">
      <w:pPr>
        <w:adjustRightInd w:val="0"/>
        <w:snapToGrid w:val="0"/>
        <w:spacing w:line="400" w:lineRule="exact"/>
        <w:ind w:firstLine="480" w:firstLineChars="200"/>
        <w:rPr>
          <w:rFonts w:ascii="Times New Roman" w:hAnsi="Times New Roman" w:eastAsia="宋体" w:cs="Times New Roman"/>
          <w:color w:val="000000"/>
          <w:sz w:val="24"/>
          <w:szCs w:val="24"/>
        </w:rPr>
      </w:pPr>
    </w:p>
    <w:p w14:paraId="4DA06283">
      <w:pPr>
        <w:adjustRightInd w:val="0"/>
        <w:snapToGrid w:val="0"/>
        <w:spacing w:line="400" w:lineRule="exact"/>
        <w:ind w:firstLine="4560" w:firstLineChars="1900"/>
        <w:rPr>
          <w:rFonts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eastAsia" w:ascii="Times New Roman" w:hAnsi="Times New Roman" w:eastAsia="宋体" w:cs="Times New Roman"/>
          <w:color w:val="000000"/>
          <w:sz w:val="24"/>
          <w:szCs w:val="24"/>
        </w:rPr>
        <w:t>答辩委员会主席签字：</w:t>
      </w:r>
    </w:p>
    <w:p w14:paraId="1CF00D57">
      <w:pPr>
        <w:adjustRightInd w:val="0"/>
        <w:snapToGrid w:val="0"/>
        <w:spacing w:line="400" w:lineRule="exact"/>
        <w:ind w:firstLine="4560" w:firstLineChars="1900"/>
        <w:rPr>
          <w:rFonts w:ascii="Times New Roman" w:hAnsi="Times New Roman" w:eastAsia="宋体" w:cs="Times New Roman"/>
          <w:color w:val="000000"/>
          <w:sz w:val="24"/>
          <w:szCs w:val="24"/>
        </w:rPr>
      </w:pPr>
    </w:p>
    <w:p w14:paraId="403C7C9A">
      <w:pPr>
        <w:adjustRightInd w:val="0"/>
        <w:snapToGrid w:val="0"/>
        <w:spacing w:line="400" w:lineRule="exact"/>
        <w:ind w:firstLine="5520" w:firstLineChars="2300"/>
        <w:rPr>
          <w:rFonts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eastAsia" w:ascii="Times New Roman" w:hAnsi="Times New Roman" w:eastAsia="宋体" w:cs="Times New Roman"/>
          <w:color w:val="000000"/>
          <w:sz w:val="24"/>
          <w:szCs w:val="24"/>
        </w:rPr>
        <w:t xml:space="preserve">       年    月    日</w:t>
      </w:r>
    </w:p>
    <w:sectPr>
      <w:pgSz w:w="11906" w:h="16838"/>
      <w:pgMar w:top="567" w:right="1797" w:bottom="851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4727"/>
    <w:rsid w:val="00021843"/>
    <w:rsid w:val="00025850"/>
    <w:rsid w:val="00113155"/>
    <w:rsid w:val="00176776"/>
    <w:rsid w:val="00222D27"/>
    <w:rsid w:val="002313F9"/>
    <w:rsid w:val="00293995"/>
    <w:rsid w:val="00303A5A"/>
    <w:rsid w:val="00306C7F"/>
    <w:rsid w:val="00377388"/>
    <w:rsid w:val="003C07C1"/>
    <w:rsid w:val="00466B73"/>
    <w:rsid w:val="0047102B"/>
    <w:rsid w:val="00485045"/>
    <w:rsid w:val="004A77F1"/>
    <w:rsid w:val="004A7892"/>
    <w:rsid w:val="004B7410"/>
    <w:rsid w:val="004C6429"/>
    <w:rsid w:val="00534753"/>
    <w:rsid w:val="00577DD7"/>
    <w:rsid w:val="005A30CD"/>
    <w:rsid w:val="005F618E"/>
    <w:rsid w:val="0062782E"/>
    <w:rsid w:val="006343CD"/>
    <w:rsid w:val="0066269C"/>
    <w:rsid w:val="006C1040"/>
    <w:rsid w:val="007B59BC"/>
    <w:rsid w:val="007F5BBF"/>
    <w:rsid w:val="0083415E"/>
    <w:rsid w:val="00854216"/>
    <w:rsid w:val="0088710B"/>
    <w:rsid w:val="008C01CA"/>
    <w:rsid w:val="00902338"/>
    <w:rsid w:val="00932007"/>
    <w:rsid w:val="00A431FB"/>
    <w:rsid w:val="00A83CC1"/>
    <w:rsid w:val="00AA686A"/>
    <w:rsid w:val="00B433CE"/>
    <w:rsid w:val="00B53518"/>
    <w:rsid w:val="00BE3842"/>
    <w:rsid w:val="00C10920"/>
    <w:rsid w:val="00C576F8"/>
    <w:rsid w:val="00D44B2C"/>
    <w:rsid w:val="00D77D4C"/>
    <w:rsid w:val="00D817F5"/>
    <w:rsid w:val="00DD339C"/>
    <w:rsid w:val="00E01A3F"/>
    <w:rsid w:val="00E05D5F"/>
    <w:rsid w:val="00F11BAA"/>
    <w:rsid w:val="00F3354F"/>
    <w:rsid w:val="00F92E1D"/>
    <w:rsid w:val="00FC7B19"/>
    <w:rsid w:val="0F471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Title"/>
    <w:basedOn w:val="1"/>
    <w:next w:val="1"/>
    <w:link w:val="8"/>
    <w:qFormat/>
    <w:uiPriority w:val="1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 w:val="32"/>
      <w:szCs w:val="32"/>
    </w:rPr>
  </w:style>
  <w:style w:type="character" w:customStyle="1" w:styleId="8">
    <w:name w:val="标题 字符"/>
    <w:basedOn w:val="7"/>
    <w:link w:val="5"/>
    <w:uiPriority w:val="10"/>
    <w:rPr>
      <w:rFonts w:eastAsia="宋体" w:asciiTheme="majorHAnsi" w:hAnsiTheme="majorHAnsi" w:cstheme="majorBidi"/>
      <w:b/>
      <w:bCs/>
      <w:sz w:val="32"/>
      <w:szCs w:val="32"/>
    </w:rPr>
  </w:style>
  <w:style w:type="character" w:customStyle="1" w:styleId="9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1">
    <w:name w:val="批注框文本 字符"/>
    <w:basedOn w:val="7"/>
    <w:link w:val="2"/>
    <w:semiHidden/>
    <w:uiPriority w:val="99"/>
    <w:rPr>
      <w:sz w:val="18"/>
      <w:szCs w:val="18"/>
    </w:rPr>
  </w:style>
  <w:style w:type="paragraph" w:customStyle="1" w:styleId="12">
    <w:name w:val="Default"/>
    <w:unhideWhenUsed/>
    <w:uiPriority w:val="99"/>
    <w:pPr>
      <w:widowControl w:val="0"/>
      <w:autoSpaceDE w:val="0"/>
      <w:autoSpaceDN w:val="0"/>
      <w:adjustRightInd w:val="0"/>
      <w:spacing w:beforeLines="0" w:afterLines="0"/>
    </w:pPr>
    <w:rPr>
      <w:rFonts w:hint="eastAsia" w:ascii="宋体" w:hAnsi="宋体" w:eastAsia="宋体"/>
      <w:color w:val="00000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B95883-30C5-4A0F-ABD4-D0CFD15D9FB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439</Words>
  <Characters>460</Characters>
  <Lines>3</Lines>
  <Paragraphs>1</Paragraphs>
  <TotalTime>877</TotalTime>
  <ScaleCrop>false</ScaleCrop>
  <LinksUpToDate>false</LinksUpToDate>
  <CharactersWithSpaces>479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2017-05-25T01:42:00Z</dcterms:created>
  <dc:creator>sukaihappy</dc:creator>
  <cp:lastModifiedBy>王公臻</cp:lastModifiedBy>
  <cp:lastPrinted>2018-05-20T08:08:00Z</cp:lastPrinted>
  <dcterms:modified xsi:type="dcterms:W3CDTF">2025-06-06T10:25:27Z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eyJoZGlkIjoiYWNmMjQxY2NhMTBhYTc3ODFiYzZhYjk2ZjVjOTczNTMiLCJ1c2VySWQiOiIyMjk2NDMyNTMifQ==</vt:lpwstr>
  </property>
  <property fmtid="{D5CDD505-2E9C-101B-9397-08002B2CF9AE}" pid="3" name="KSOProductBuildVer">
    <vt:lpwstr>2052-12.1.0.21171</vt:lpwstr>
  </property>
  <property fmtid="{D5CDD505-2E9C-101B-9397-08002B2CF9AE}" pid="4" name="ICV">
    <vt:lpwstr>A39B9A4BC8B54D2085331FE8D6E5E296_13</vt:lpwstr>
  </property>
</Properties>
</file>